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378135A0" w:rsidR="00373FD1" w:rsidRDefault="005F70A8">
            <w:pPr>
              <w:pStyle w:val="Normalintable"/>
            </w:pPr>
            <w:r>
              <w:t>The Burrows</w:t>
            </w:r>
            <w:r w:rsidR="00373FD1">
              <w:t xml:space="preserve">, </w:t>
            </w:r>
            <w:r>
              <w:t>Plot 1</w:t>
            </w:r>
            <w:r w:rsidR="0025134E">
              <w:t>1</w:t>
            </w:r>
            <w:r w:rsidR="009473D6">
              <w:t>1</w:t>
            </w:r>
          </w:p>
          <w:p w14:paraId="7C9182A3" w14:textId="736C6E68" w:rsidR="005F70A8" w:rsidRDefault="00287684">
            <w:pPr>
              <w:pStyle w:val="Normalintable"/>
            </w:pPr>
            <w:r>
              <w:t>9</w:t>
            </w:r>
            <w:r w:rsidR="009473D6">
              <w:t>4</w:t>
            </w:r>
            <w:r w:rsidR="0025134E">
              <w:t xml:space="preserve"> Hawthorn Way</w:t>
            </w:r>
            <w:r w:rsidR="005F70A8">
              <w:t>, Paddock Wood, Tonbridge, Kent, TN12 6</w:t>
            </w:r>
            <w:r w:rsidR="0025134E">
              <w:t>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1950DF3A" w:rsidR="005F70A8" w:rsidRDefault="0025134E" w:rsidP="005F70A8">
            <w:pPr>
              <w:pStyle w:val="Normalintable"/>
            </w:pPr>
            <w:r>
              <w:t>3</w:t>
            </w:r>
            <w:r w:rsidR="005F70A8" w:rsidRPr="005F70A8">
              <w:t xml:space="preserve">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393E59F1" w:rsidR="00903BCB" w:rsidRDefault="00855491">
            <w:pPr>
              <w:pStyle w:val="Normalintable"/>
            </w:pPr>
            <w:r>
              <w:t>£</w:t>
            </w:r>
            <w:r w:rsidR="0025134E">
              <w:t>44</w:t>
            </w:r>
            <w:r w:rsidR="00287684">
              <w:t>5</w:t>
            </w:r>
            <w:r w:rsidR="008038E3">
              <w:t>,5</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7FFCAC68" w:rsidR="00903BCB" w:rsidRDefault="00855491">
            <w:pPr>
              <w:pStyle w:val="Normalintable"/>
            </w:pPr>
            <w:r>
              <w:t>If you buy a</w:t>
            </w:r>
            <w:r w:rsidR="005F70A8">
              <w:t xml:space="preserve"> 10</w:t>
            </w:r>
            <w:r>
              <w:t>% share, the share purchase price will be £</w:t>
            </w:r>
            <w:r w:rsidR="0025134E">
              <w:t>44</w:t>
            </w:r>
            <w:r w:rsidR="008038E3">
              <w:t>,</w:t>
            </w:r>
            <w:r w:rsidR="00287684">
              <w:t>5</w:t>
            </w:r>
            <w:r w:rsidR="008038E3">
              <w:t>50</w:t>
            </w:r>
            <w:r>
              <w:t xml:space="preserve"> and the rent will be £</w:t>
            </w:r>
            <w:r w:rsidR="00287684">
              <w:t xml:space="preserve">918.84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EAA02E5"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£44,550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5B95243A"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£918.84</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26FD3CF2"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£111,375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281DC958"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£765.70</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38BD5B87"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£133,650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0A663EF2" w:rsidR="00903BCB" w:rsidRPr="005F70A8" w:rsidRDefault="00287684">
                  <w:pPr>
                    <w:keepLines w:val="0"/>
                    <w:suppressAutoHyphens w:val="0"/>
                    <w:spacing w:before="0" w:after="0"/>
                    <w:rPr>
                      <w:rFonts w:eastAsia="Times New Roman"/>
                      <w:color w:val="000000"/>
                      <w:lang w:eastAsia="en-GB"/>
                    </w:rPr>
                  </w:pPr>
                  <w:r>
                    <w:rPr>
                      <w:rFonts w:eastAsia="Times New Roman"/>
                      <w:color w:val="000000"/>
                      <w:lang w:eastAsia="en-GB"/>
                    </w:rPr>
                    <w:t>£714.66</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3AA27ABC"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£178,200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2B261CF7"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£612.56</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11EA6024"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£222,750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49AD09C3"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£510.47</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A43645F"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£267,300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6B84261"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£408.38</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12D44C40"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£311,850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34BF9A58"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£306.28</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22B63DC6"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£334,125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52BC1655" w:rsidR="00903BCB" w:rsidRPr="005F70A8" w:rsidRDefault="000459A8">
                  <w:pPr>
                    <w:keepLines w:val="0"/>
                    <w:suppressAutoHyphens w:val="0"/>
                    <w:spacing w:before="0" w:after="0"/>
                    <w:rPr>
                      <w:rFonts w:eastAsia="Times New Roman"/>
                      <w:color w:val="000000"/>
                      <w:lang w:eastAsia="en-GB"/>
                    </w:rPr>
                  </w:pPr>
                  <w:r>
                    <w:rPr>
                      <w:rFonts w:eastAsia="Times New Roman"/>
                      <w:color w:val="000000"/>
                      <w:lang w:eastAsia="en-GB"/>
                    </w:rPr>
                    <w:t>£255.23</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459A8"/>
    <w:rsid w:val="000F2726"/>
    <w:rsid w:val="0025134E"/>
    <w:rsid w:val="00287684"/>
    <w:rsid w:val="00373FD1"/>
    <w:rsid w:val="003D7974"/>
    <w:rsid w:val="004529FF"/>
    <w:rsid w:val="0045526F"/>
    <w:rsid w:val="005B6C1B"/>
    <w:rsid w:val="005F70A8"/>
    <w:rsid w:val="0065163A"/>
    <w:rsid w:val="006B00D5"/>
    <w:rsid w:val="008038E3"/>
    <w:rsid w:val="00846B39"/>
    <w:rsid w:val="0085467E"/>
    <w:rsid w:val="00855491"/>
    <w:rsid w:val="008C003E"/>
    <w:rsid w:val="00903BCB"/>
    <w:rsid w:val="009473D6"/>
    <w:rsid w:val="00B64C81"/>
    <w:rsid w:val="00D219EC"/>
    <w:rsid w:val="00D55EE0"/>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2023-06-12T20:50:00Z</dcterms:created>
  <dcterms:modified xsi:type="dcterms:W3CDTF">2023-06-12T20:50:00Z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